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637" w:rsidRPr="00CD7BB9" w:rsidRDefault="00060C24" w:rsidP="00CD7BB9">
      <w:pPr>
        <w:spacing w:after="0" w:line="240" w:lineRule="auto"/>
        <w:ind w:firstLine="666"/>
        <w:jc w:val="both"/>
        <w:rPr>
          <w:sz w:val="28"/>
          <w:szCs w:val="28"/>
        </w:rPr>
      </w:pPr>
      <w:proofErr w:type="spellStart"/>
      <w:r w:rsidRPr="00CD7BB9">
        <w:rPr>
          <w:rFonts w:ascii="Times New Roman" w:eastAsia="Times New Roman" w:hAnsi="Times New Roman" w:cs="Times New Roman"/>
          <w:sz w:val="28"/>
          <w:szCs w:val="28"/>
        </w:rPr>
        <w:t>Минпромторг</w:t>
      </w:r>
      <w:proofErr w:type="spellEnd"/>
      <w:r w:rsidRPr="00CD7BB9">
        <w:rPr>
          <w:rFonts w:ascii="Times New Roman" w:eastAsia="Times New Roman" w:hAnsi="Times New Roman" w:cs="Times New Roman"/>
          <w:sz w:val="28"/>
          <w:szCs w:val="28"/>
        </w:rPr>
        <w:t xml:space="preserve"> России является организатором акции «Дни российских вин»</w:t>
      </w:r>
      <w:r w:rsidRPr="00CD7BB9">
        <w:rPr>
          <w:rFonts w:ascii="Times New Roman" w:eastAsia="Times New Roman" w:hAnsi="Times New Roman" w:cs="Times New Roman"/>
          <w:sz w:val="28"/>
          <w:szCs w:val="28"/>
        </w:rPr>
        <w:t>, которая проводится в розничных торговых сетях и направлена на увеличение узнаваемости и продаж российских вин средней категории и выше, произведенных исключительно из оте</w:t>
      </w:r>
      <w:r w:rsidRPr="00CD7BB9">
        <w:rPr>
          <w:rFonts w:ascii="Times New Roman" w:eastAsia="Times New Roman" w:hAnsi="Times New Roman" w:cs="Times New Roman"/>
          <w:sz w:val="28"/>
          <w:szCs w:val="28"/>
        </w:rPr>
        <w:t>чественного винограда.</w:t>
      </w:r>
    </w:p>
    <w:p w:rsidR="00403637" w:rsidRPr="00CD7BB9" w:rsidRDefault="00060C24" w:rsidP="00CD7BB9">
      <w:pPr>
        <w:spacing w:after="0" w:line="240" w:lineRule="auto"/>
        <w:ind w:firstLine="666"/>
        <w:jc w:val="both"/>
        <w:rPr>
          <w:sz w:val="28"/>
          <w:szCs w:val="28"/>
        </w:rPr>
      </w:pPr>
      <w:r w:rsidRPr="00CD7BB9">
        <w:rPr>
          <w:noProof/>
          <w:sz w:val="28"/>
          <w:szCs w:val="28"/>
        </w:rPr>
        <w:drawing>
          <wp:inline distT="0" distB="0" distL="0" distR="0">
            <wp:extent cx="4569" cy="4568"/>
            <wp:effectExtent l="0" t="0" r="0" b="0"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BB9">
        <w:rPr>
          <w:rFonts w:ascii="Times New Roman" w:eastAsia="Times New Roman" w:hAnsi="Times New Roman" w:cs="Times New Roman"/>
          <w:sz w:val="28"/>
          <w:szCs w:val="28"/>
        </w:rPr>
        <w:t>Акция состоится в периоды с 25 апреля по 6 июня и с 10 октября по 21 ноября 2019 г.</w:t>
      </w:r>
    </w:p>
    <w:p w:rsidR="00403637" w:rsidRPr="00CD7BB9" w:rsidRDefault="00060C24" w:rsidP="00CD7BB9">
      <w:pPr>
        <w:spacing w:after="0" w:line="240" w:lineRule="auto"/>
        <w:ind w:firstLine="666"/>
        <w:jc w:val="both"/>
        <w:rPr>
          <w:sz w:val="28"/>
          <w:szCs w:val="28"/>
        </w:rPr>
      </w:pPr>
      <w:r w:rsidRPr="00CD7BB9">
        <w:rPr>
          <w:rFonts w:ascii="Times New Roman" w:eastAsia="Times New Roman" w:hAnsi="Times New Roman" w:cs="Times New Roman"/>
          <w:sz w:val="28"/>
          <w:szCs w:val="28"/>
        </w:rPr>
        <w:t>Всего в списке участвующих в Акции 964 наименования российских вин. Среди них как крупнейшие производители, так и малые винодельни: ООО «Кубань Вино», ООО «АПФ «</w:t>
      </w:r>
      <w:proofErr w:type="spellStart"/>
      <w:r w:rsidRPr="00CD7BB9">
        <w:rPr>
          <w:rFonts w:ascii="Times New Roman" w:eastAsia="Times New Roman" w:hAnsi="Times New Roman" w:cs="Times New Roman"/>
          <w:sz w:val="28"/>
          <w:szCs w:val="28"/>
        </w:rPr>
        <w:t>Фанагория</w:t>
      </w:r>
      <w:proofErr w:type="spellEnd"/>
      <w:r w:rsidRPr="00CD7BB9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CD7BB9">
        <w:rPr>
          <w:rFonts w:ascii="Times New Roman" w:eastAsia="Times New Roman" w:hAnsi="Times New Roman" w:cs="Times New Roman"/>
          <w:sz w:val="28"/>
          <w:szCs w:val="28"/>
        </w:rPr>
        <w:t xml:space="preserve"> ПАО «Массандра», ГК «</w:t>
      </w:r>
      <w:proofErr w:type="spellStart"/>
      <w:r w:rsidRPr="00CD7BB9">
        <w:rPr>
          <w:rFonts w:ascii="Times New Roman" w:eastAsia="Times New Roman" w:hAnsi="Times New Roman" w:cs="Times New Roman"/>
          <w:sz w:val="28"/>
          <w:szCs w:val="28"/>
        </w:rPr>
        <w:t>Лефкадия</w:t>
      </w:r>
      <w:proofErr w:type="spellEnd"/>
      <w:r w:rsidRPr="00CD7BB9">
        <w:rPr>
          <w:rFonts w:ascii="Times New Roman" w:eastAsia="Times New Roman" w:hAnsi="Times New Roman" w:cs="Times New Roman"/>
          <w:sz w:val="28"/>
          <w:szCs w:val="28"/>
        </w:rPr>
        <w:t>», ООО «</w:t>
      </w:r>
      <w:proofErr w:type="spellStart"/>
      <w:r w:rsidRPr="00CD7BB9">
        <w:rPr>
          <w:rFonts w:ascii="Times New Roman" w:eastAsia="Times New Roman" w:hAnsi="Times New Roman" w:cs="Times New Roman"/>
          <w:sz w:val="28"/>
          <w:szCs w:val="28"/>
        </w:rPr>
        <w:t>Инкерманский</w:t>
      </w:r>
      <w:proofErr w:type="spellEnd"/>
      <w:r w:rsidRPr="00CD7BB9">
        <w:rPr>
          <w:rFonts w:ascii="Times New Roman" w:eastAsia="Times New Roman" w:hAnsi="Times New Roman" w:cs="Times New Roman"/>
          <w:sz w:val="28"/>
          <w:szCs w:val="28"/>
        </w:rPr>
        <w:t xml:space="preserve"> завод марочных вин», ООО «Агрофирма «Золотая балка» и др.</w:t>
      </w:r>
    </w:p>
    <w:p w:rsidR="00403637" w:rsidRPr="00CD7BB9" w:rsidRDefault="00060C24" w:rsidP="00CD7BB9">
      <w:pPr>
        <w:spacing w:after="0" w:line="240" w:lineRule="auto"/>
        <w:ind w:firstLine="659"/>
        <w:jc w:val="both"/>
        <w:rPr>
          <w:sz w:val="28"/>
          <w:szCs w:val="28"/>
        </w:rPr>
      </w:pPr>
      <w:r w:rsidRPr="00CD7BB9">
        <w:rPr>
          <w:rFonts w:ascii="Times New Roman" w:eastAsia="Times New Roman" w:hAnsi="Times New Roman" w:cs="Times New Roman"/>
          <w:sz w:val="28"/>
          <w:szCs w:val="28"/>
        </w:rPr>
        <w:t xml:space="preserve">В Акции участвуют следующие торговые сети: «Карусель», «Перекресток», </w:t>
      </w:r>
      <w:r w:rsidRPr="00CD7BB9">
        <w:rPr>
          <w:noProof/>
          <w:sz w:val="28"/>
          <w:szCs w:val="28"/>
        </w:rPr>
        <w:drawing>
          <wp:inline distT="0" distB="0" distL="0" distR="0">
            <wp:extent cx="4569" cy="4568"/>
            <wp:effectExtent l="0" t="0" r="0" b="0"/>
            <wp:docPr id="1407" name="Picture 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Picture 14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BB9">
        <w:rPr>
          <w:rFonts w:ascii="Times New Roman" w:eastAsia="Times New Roman" w:hAnsi="Times New Roman" w:cs="Times New Roman"/>
          <w:sz w:val="28"/>
          <w:szCs w:val="28"/>
        </w:rPr>
        <w:t>«Пятерочка», «Магнит», «Метро», «Лента», «АШАН», «</w:t>
      </w:r>
      <w:proofErr w:type="spellStart"/>
      <w:r w:rsidRPr="00CD7BB9">
        <w:rPr>
          <w:rFonts w:ascii="Times New Roman" w:eastAsia="Times New Roman" w:hAnsi="Times New Roman" w:cs="Times New Roman"/>
          <w:sz w:val="28"/>
          <w:szCs w:val="28"/>
        </w:rPr>
        <w:t>Дикси</w:t>
      </w:r>
      <w:proofErr w:type="spellEnd"/>
      <w:r w:rsidRPr="00CD7BB9">
        <w:rPr>
          <w:rFonts w:ascii="Times New Roman" w:eastAsia="Times New Roman" w:hAnsi="Times New Roman" w:cs="Times New Roman"/>
          <w:sz w:val="28"/>
          <w:szCs w:val="28"/>
        </w:rPr>
        <w:t>», «Азбука вкуса», «Б</w:t>
      </w:r>
      <w:r w:rsidRPr="00CD7BB9">
        <w:rPr>
          <w:rFonts w:ascii="Times New Roman" w:eastAsia="Times New Roman" w:hAnsi="Times New Roman" w:cs="Times New Roman"/>
          <w:sz w:val="28"/>
          <w:szCs w:val="28"/>
        </w:rPr>
        <w:t xml:space="preserve">ристоль», «Империал </w:t>
      </w:r>
      <w:proofErr w:type="spellStart"/>
      <w:r w:rsidRPr="00CD7BB9">
        <w:rPr>
          <w:rFonts w:ascii="Times New Roman" w:eastAsia="Times New Roman" w:hAnsi="Times New Roman" w:cs="Times New Roman"/>
          <w:sz w:val="28"/>
          <w:szCs w:val="28"/>
        </w:rPr>
        <w:t>Дьюти</w:t>
      </w:r>
      <w:proofErr w:type="spellEnd"/>
      <w:r w:rsidRPr="00CD7BB9">
        <w:rPr>
          <w:rFonts w:ascii="Times New Roman" w:eastAsia="Times New Roman" w:hAnsi="Times New Roman" w:cs="Times New Roman"/>
          <w:sz w:val="28"/>
          <w:szCs w:val="28"/>
        </w:rPr>
        <w:t xml:space="preserve"> Фри», «Новое русское вино» и др.</w:t>
      </w:r>
    </w:p>
    <w:p w:rsidR="00403637" w:rsidRPr="00CD7BB9" w:rsidRDefault="00060C24" w:rsidP="00CD7BB9">
      <w:pPr>
        <w:spacing w:after="0" w:line="240" w:lineRule="auto"/>
        <w:ind w:firstLine="659"/>
        <w:jc w:val="both"/>
        <w:rPr>
          <w:sz w:val="28"/>
          <w:szCs w:val="28"/>
        </w:rPr>
      </w:pPr>
      <w:r w:rsidRPr="00CD7BB9">
        <w:rPr>
          <w:rFonts w:ascii="Times New Roman" w:eastAsia="Times New Roman" w:hAnsi="Times New Roman" w:cs="Times New Roman"/>
          <w:sz w:val="28"/>
          <w:szCs w:val="28"/>
        </w:rPr>
        <w:t>Торговые сети сами устанавливают и используют различные способы проведения Акции: презентации вин российского производства, скидки, дегустации, конкурсы, подарки за покупки и др.</w:t>
      </w:r>
    </w:p>
    <w:p w:rsidR="00403637" w:rsidRDefault="0040363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BF6FF7">
      <w:pPr>
        <w:spacing w:after="0" w:line="240" w:lineRule="auto"/>
        <w:jc w:val="center"/>
        <w:rPr>
          <w:sz w:val="28"/>
          <w:szCs w:val="28"/>
        </w:rPr>
      </w:pPr>
      <w:r w:rsidRPr="00BF6FF7">
        <w:rPr>
          <w:noProof/>
          <w:sz w:val="28"/>
          <w:szCs w:val="28"/>
        </w:rPr>
        <w:drawing>
          <wp:inline distT="0" distB="0" distL="0" distR="0">
            <wp:extent cx="6476365" cy="3572076"/>
            <wp:effectExtent l="0" t="0" r="635" b="9525"/>
            <wp:docPr id="1" name="Рисунок 1" descr="C:\Users\Karneeva-T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neeva-T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57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BF6FF7">
      <w:pPr>
        <w:spacing w:after="0" w:line="240" w:lineRule="auto"/>
        <w:jc w:val="center"/>
        <w:rPr>
          <w:sz w:val="28"/>
          <w:szCs w:val="28"/>
        </w:rPr>
      </w:pPr>
      <w:r w:rsidRPr="00BF6FF7">
        <w:rPr>
          <w:noProof/>
          <w:sz w:val="28"/>
          <w:szCs w:val="28"/>
        </w:rPr>
        <w:drawing>
          <wp:inline distT="0" distB="0" distL="0" distR="0">
            <wp:extent cx="9906540" cy="5513696"/>
            <wp:effectExtent l="0" t="0" r="0" b="0"/>
            <wp:docPr id="2" name="Рисунок 2" descr="C:\Users\Karneeva-T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neeva-T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387" cy="552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CD7BB9">
      <w:pPr>
        <w:spacing w:after="0" w:line="240" w:lineRule="auto"/>
        <w:rPr>
          <w:sz w:val="28"/>
          <w:szCs w:val="28"/>
        </w:rPr>
      </w:pPr>
      <w:r w:rsidRPr="00BF6FF7">
        <w:rPr>
          <w:noProof/>
          <w:sz w:val="28"/>
          <w:szCs w:val="28"/>
        </w:rPr>
        <w:lastRenderedPageBreak/>
        <w:drawing>
          <wp:inline distT="0" distB="0" distL="0" distR="0">
            <wp:extent cx="10026832" cy="5568286"/>
            <wp:effectExtent l="0" t="0" r="0" b="0"/>
            <wp:docPr id="3" name="Рисунок 3" descr="C:\Users\Karneeva-T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neeva-T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148" cy="557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CD7BB9">
      <w:pPr>
        <w:spacing w:after="0" w:line="240" w:lineRule="auto"/>
        <w:rPr>
          <w:sz w:val="28"/>
          <w:szCs w:val="28"/>
        </w:rPr>
      </w:pPr>
      <w:r w:rsidRPr="00BF6FF7">
        <w:rPr>
          <w:noProof/>
          <w:sz w:val="28"/>
          <w:szCs w:val="28"/>
        </w:rPr>
        <w:lastRenderedPageBreak/>
        <w:drawing>
          <wp:inline distT="0" distB="0" distL="0" distR="0">
            <wp:extent cx="10023777" cy="5568286"/>
            <wp:effectExtent l="0" t="0" r="0" b="0"/>
            <wp:docPr id="4" name="Рисунок 4" descr="C:\Users\Karneeva-T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neeva-T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405" cy="55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CD7BB9">
      <w:pPr>
        <w:spacing w:after="0" w:line="240" w:lineRule="auto"/>
        <w:rPr>
          <w:sz w:val="28"/>
          <w:szCs w:val="28"/>
        </w:rPr>
      </w:pPr>
      <w:r w:rsidRPr="00BF6FF7">
        <w:rPr>
          <w:noProof/>
          <w:sz w:val="28"/>
          <w:szCs w:val="28"/>
        </w:rPr>
        <w:lastRenderedPageBreak/>
        <w:drawing>
          <wp:inline distT="0" distB="0" distL="0" distR="0">
            <wp:extent cx="10044752" cy="5558167"/>
            <wp:effectExtent l="0" t="0" r="0" b="4445"/>
            <wp:docPr id="5" name="Рисунок 5" descr="C:\Users\Karneeva-T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neeva-T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871" cy="55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CD7BB9">
      <w:pPr>
        <w:spacing w:after="0" w:line="240" w:lineRule="auto"/>
        <w:rPr>
          <w:sz w:val="28"/>
          <w:szCs w:val="28"/>
        </w:rPr>
      </w:pPr>
      <w:r w:rsidRPr="00BF6FF7">
        <w:rPr>
          <w:noProof/>
          <w:sz w:val="28"/>
          <w:szCs w:val="28"/>
        </w:rPr>
        <w:lastRenderedPageBreak/>
        <w:drawing>
          <wp:inline distT="0" distB="0" distL="0" distR="0">
            <wp:extent cx="10078513" cy="5486400"/>
            <wp:effectExtent l="0" t="0" r="0" b="0"/>
            <wp:docPr id="6" name="Рисунок 6" descr="C:\Users\Karneeva-T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neeva-T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124" cy="54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Default="00BF6FF7" w:rsidP="00CD7BB9">
      <w:pPr>
        <w:spacing w:after="0" w:line="240" w:lineRule="auto"/>
        <w:rPr>
          <w:sz w:val="28"/>
          <w:szCs w:val="28"/>
        </w:rPr>
      </w:pPr>
      <w:r w:rsidRPr="00BF6FF7">
        <w:rPr>
          <w:noProof/>
          <w:sz w:val="28"/>
          <w:szCs w:val="28"/>
        </w:rPr>
        <w:lastRenderedPageBreak/>
        <w:drawing>
          <wp:inline distT="0" distB="0" distL="0" distR="0">
            <wp:extent cx="10116410" cy="5663821"/>
            <wp:effectExtent l="0" t="0" r="0" b="0"/>
            <wp:docPr id="7" name="Рисунок 7" descr="C:\Users\Karneeva-T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neeva-T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601" cy="567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F7" w:rsidRDefault="00BF6FF7" w:rsidP="00CD7BB9">
      <w:pPr>
        <w:spacing w:after="0" w:line="240" w:lineRule="auto"/>
        <w:rPr>
          <w:sz w:val="28"/>
          <w:szCs w:val="28"/>
        </w:rPr>
      </w:pPr>
    </w:p>
    <w:p w:rsidR="00BF6FF7" w:rsidRPr="00CD7BB9" w:rsidRDefault="00BF6FF7" w:rsidP="00CD7BB9">
      <w:pPr>
        <w:spacing w:after="0" w:line="240" w:lineRule="auto"/>
        <w:rPr>
          <w:sz w:val="28"/>
          <w:szCs w:val="28"/>
        </w:rPr>
        <w:sectPr w:rsidR="00BF6FF7" w:rsidRPr="00CD7BB9" w:rsidSect="00BF6FF7">
          <w:type w:val="continuous"/>
          <w:pgSz w:w="16860" w:h="11900" w:orient="landscape"/>
          <w:pgMar w:top="567" w:right="567" w:bottom="1134" w:left="567" w:header="720" w:footer="720" w:gutter="0"/>
          <w:cols w:space="720"/>
          <w:docGrid w:linePitch="299"/>
        </w:sectPr>
      </w:pPr>
      <w:bookmarkStart w:id="0" w:name="_GoBack"/>
      <w:r w:rsidRPr="00BF6FF7">
        <w:rPr>
          <w:noProof/>
          <w:sz w:val="28"/>
          <w:szCs w:val="28"/>
        </w:rPr>
        <w:lastRenderedPageBreak/>
        <w:drawing>
          <wp:inline distT="0" distB="0" distL="0" distR="0">
            <wp:extent cx="10029016" cy="5486400"/>
            <wp:effectExtent l="0" t="0" r="0" b="0"/>
            <wp:docPr id="8" name="Рисунок 8" descr="C:\Users\Karneeva-T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neeva-T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613" cy="54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3637" w:rsidRDefault="00403637" w:rsidP="00060C24">
      <w:pPr>
        <w:spacing w:after="0"/>
        <w:ind w:right="10420"/>
      </w:pPr>
    </w:p>
    <w:sectPr w:rsidR="00403637">
      <w:pgSz w:w="1190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37"/>
    <w:rsid w:val="00060C24"/>
    <w:rsid w:val="00403637"/>
    <w:rsid w:val="00BF6FF7"/>
    <w:rsid w:val="00CD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72A10"/>
  <w15:docId w15:val="{A15F526C-E3F3-4EC0-A3F2-3C6043E9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23"/>
      <w:outlineLvl w:val="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2019-03-20 (1)</vt:lpstr>
    </vt:vector>
  </TitlesOfParts>
  <Company>Hewlett-Packard Company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2019-03-20 (1)</dc:title>
  <dc:subject/>
  <dc:creator>Карнеева Татьяна Васильевна</dc:creator>
  <cp:keywords/>
  <cp:lastModifiedBy>Карнеева Татьяна Васильевна</cp:lastModifiedBy>
  <cp:revision>3</cp:revision>
  <dcterms:created xsi:type="dcterms:W3CDTF">2019-03-20T06:54:00Z</dcterms:created>
  <dcterms:modified xsi:type="dcterms:W3CDTF">2019-03-20T07:03:00Z</dcterms:modified>
</cp:coreProperties>
</file>